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8C" w:rsidRDefault="00E31E8C" w:rsidP="00E31E8C">
      <w:pPr>
        <w:pStyle w:val="ListParagraph"/>
        <w:spacing w:line="360" w:lineRule="auto"/>
        <w:ind w:left="284"/>
        <w:rPr>
          <w:rFonts w:ascii="Calibri" w:hAnsi="Calibri"/>
          <w:b/>
          <w:sz w:val="22"/>
        </w:rPr>
      </w:pPr>
      <w:r w:rsidRPr="00D95A10">
        <w:rPr>
          <w:rFonts w:ascii="Calibri" w:hAnsi="Calibri"/>
          <w:b/>
          <w:sz w:val="22"/>
        </w:rPr>
        <w:t xml:space="preserve">Dengue, Zika, Chikungunya </w:t>
      </w:r>
    </w:p>
    <w:p w:rsidR="00E31E8C" w:rsidRPr="00D56C00" w:rsidRDefault="00E31E8C" w:rsidP="00E31E8C">
      <w:pPr>
        <w:pStyle w:val="ListParagraph"/>
        <w:spacing w:line="360" w:lineRule="auto"/>
        <w:ind w:left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Dr Camilla Rothe</w:t>
      </w:r>
    </w:p>
    <w:p w:rsidR="00E31E8C" w:rsidRDefault="00E31E8C" w:rsidP="00E31E8C">
      <w:pPr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Dengue, Zika and Chikungunya are three major arthropod-borne viral infections relevant to travel medicine practice. All of them are transmitted by anthropohilic </w:t>
      </w:r>
      <w:r w:rsidRPr="0079025D">
        <w:rPr>
          <w:rFonts w:ascii="Calibri" w:hAnsi="Calibri"/>
          <w:i/>
          <w:sz w:val="22"/>
        </w:rPr>
        <w:t>Aede</w:t>
      </w:r>
      <w:r>
        <w:rPr>
          <w:rFonts w:ascii="Calibri" w:hAnsi="Calibri"/>
          <w:i/>
          <w:sz w:val="22"/>
        </w:rPr>
        <w:t xml:space="preserve"> spp</w:t>
      </w:r>
      <w:r>
        <w:rPr>
          <w:rFonts w:ascii="Calibri" w:hAnsi="Calibri"/>
          <w:sz w:val="22"/>
        </w:rPr>
        <w:t xml:space="preserve"> mosquitoes. </w:t>
      </w:r>
    </w:p>
    <w:p w:rsidR="00E31E8C" w:rsidRDefault="00E31E8C" w:rsidP="00E31E8C">
      <w:pPr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acute clinical picture of the three infections is highly similar and patients usually present with fever, arthralgias and a rash. Even though being mostly mild, all three illnesses can have devastating complications. </w:t>
      </w:r>
    </w:p>
    <w:p w:rsidR="00E31E8C" w:rsidRDefault="00E31E8C" w:rsidP="00E31E8C">
      <w:pPr>
        <w:spacing w:line="360" w:lineRule="auto"/>
        <w:ind w:left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talk aims  </w:t>
      </w:r>
    </w:p>
    <w:p w:rsidR="00E31E8C" w:rsidRDefault="00E31E8C" w:rsidP="00E31E8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give an introduction to the relevance of arboviroses in the context of  travel medicine </w:t>
      </w:r>
    </w:p>
    <w:p w:rsidR="00E31E8C" w:rsidRDefault="00E31E8C" w:rsidP="00E31E8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highlight shared and distinct clinical features of the three major travel-related arboviral </w:t>
      </w:r>
      <w:r>
        <w:rPr>
          <w:rFonts w:ascii="Calibri" w:hAnsi="Calibri"/>
          <w:sz w:val="22"/>
        </w:rPr>
        <w:tab/>
        <w:t>infections</w:t>
      </w:r>
    </w:p>
    <w:p w:rsidR="00E31E8C" w:rsidRPr="00D95A10" w:rsidRDefault="00E31E8C" w:rsidP="00E31E8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discuss clinical management of acute presentations and of possible complications </w:t>
      </w:r>
    </w:p>
    <w:p w:rsidR="00982894" w:rsidRDefault="00982894">
      <w:bookmarkStart w:id="0" w:name="_GoBack"/>
      <w:bookmarkEnd w:id="0"/>
    </w:p>
    <w:sectPr w:rsidR="00982894" w:rsidSect="00E31E8C">
      <w:pgSz w:w="11900" w:h="16840"/>
      <w:pgMar w:top="1276" w:right="1418" w:bottom="1418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1814"/>
    <w:multiLevelType w:val="hybridMultilevel"/>
    <w:tmpl w:val="BEA42CF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8C"/>
    <w:rsid w:val="00982894"/>
    <w:rsid w:val="00E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E0AF-FB1C-49C0-9F8D-6729F59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E8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2019-09-13T13:04:00Z</dcterms:created>
  <dcterms:modified xsi:type="dcterms:W3CDTF">2019-09-13T13:04:00Z</dcterms:modified>
</cp:coreProperties>
</file>